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171A1D"/>
          <w:spacing w:val="0"/>
          <w:sz w:val="28"/>
          <w:szCs w:val="28"/>
        </w:rPr>
        <w:t>丽水职业技术学院教学科研设备使用绩效管理办法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</w:rPr>
        <w:t>（试行）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171A1D"/>
          <w:spacing w:val="0"/>
          <w:sz w:val="28"/>
          <w:szCs w:val="28"/>
        </w:rPr>
        <w:t>为更加有效地管好、用好教学科研设备，提高仪器设备的使用绩效，结合学校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仪器设备管理相关规定和实际使用情况，制定本办法。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​ 设备使用单位在采购教学科研设备（软件）时须提交预期绩效评估报告，包括设备（软件）使用的专业、实训项目（科研项目），以及时长等，由教务处和科研处负责审核。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​ 设备使用单位应加强设备使用绩效管理，制订合理的授课计划，应特别关注与季节有关，或专业性特别强的设备使用规划，科研仪器应加强项目间，以及与专业教学的共享，提高设备的利用率。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​ 信息与设备管理与教务处、科研处在每年的十二月初，会同纪检部门开展教学设备年度利用情况检查并反馈检查结果，于次年三月份检查使用单位的整改落实情况，并将整改结果反馈给有关领导。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​ 对教学设备利用绩效差、整改措施不落实的二级学院，学校将削减其年度设备采购预算，削减额度为：（1-实际利用率/预期绩效评估报告利用率）*设备原值。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​ 各使用部门应加强设备使用的管理，认真登记使用情况，提高统计数据的准确性。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本办法从2022年1月1日起开始试行。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BCA71C"/>
    <w:multiLevelType w:val="singleLevel"/>
    <w:tmpl w:val="B5BCA7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70B3"/>
    <w:rsid w:val="24B81BF8"/>
    <w:rsid w:val="6DC07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2022-01-07T08:24:00Z</dcterms:created>
  <dc:creator>老钭</dc:creator>
  <cp:lastModifiedBy>老钭</cp:lastModifiedBy>
  <dcterms:modified xsi:type="dcterms:W3CDTF">2022-01-07T08:26:35Z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