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微软雅黑" w:hAnsi="微软雅黑" w:eastAsia="微软雅黑" w:cs="微软雅黑"/>
          <w:b w:val="0"/>
          <w:bCs w:val="0"/>
          <w:color w:val="1D2535"/>
          <w:kern w:val="0"/>
          <w:sz w:val="30"/>
          <w:szCs w:val="30"/>
          <w:highlight w:val="none"/>
        </w:rPr>
      </w:pPr>
      <w:bookmarkStart w:id="0" w:name="_GoBack"/>
      <w:bookmarkEnd w:id="0"/>
      <w:r>
        <w:rPr>
          <w:rFonts w:hint="eastAsia" w:ascii="微软雅黑" w:hAnsi="微软雅黑" w:eastAsia="微软雅黑" w:cs="微软雅黑"/>
          <w:b w:val="0"/>
          <w:bCs w:val="0"/>
          <w:color w:val="1D2535"/>
          <w:kern w:val="0"/>
          <w:sz w:val="30"/>
          <w:szCs w:val="30"/>
          <w:highlight w:val="none"/>
        </w:rPr>
        <w:t>丽水职业技术学院仪器设备采购招标管理细则</w:t>
      </w:r>
    </w:p>
    <w:p>
      <w:pPr>
        <w:widowControl/>
        <w:spacing w:line="360" w:lineRule="auto"/>
        <w:jc w:val="center"/>
        <w:rPr>
          <w:rFonts w:hint="eastAsia" w:ascii="楷体" w:hAnsi="楷体" w:eastAsia="楷体" w:cs="楷体"/>
          <w:b w:val="0"/>
          <w:bCs w:val="0"/>
          <w:color w:val="1D2535"/>
          <w:kern w:val="0"/>
          <w:sz w:val="24"/>
          <w:szCs w:val="24"/>
          <w:highlight w:val="none"/>
        </w:rPr>
      </w:pPr>
    </w:p>
    <w:p>
      <w:pPr>
        <w:widowControl/>
        <w:spacing w:line="360" w:lineRule="auto"/>
        <w:jc w:val="center"/>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第一章 总则</w:t>
      </w:r>
    </w:p>
    <w:p>
      <w:pPr>
        <w:widowControl/>
        <w:spacing w:line="360" w:lineRule="auto"/>
        <w:jc w:val="both"/>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第一条 为进一步规范我院仪器设备、批量物资采购项目的招标工作，加强管理，提高效益，促进廉政建设，依据《中华人民共和国招标投标法》和丽水市关于政府采购招标管理的有关规定，结合我院的实际情况，特制定本办法。</w:t>
      </w:r>
    </w:p>
    <w:p>
      <w:pPr>
        <w:widowControl/>
        <w:spacing w:line="360" w:lineRule="auto"/>
        <w:ind w:firstLine="480" w:firstLineChars="200"/>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第二条 学院各单位使用教育事业经费或国家拨款经费购置的仪器设备均适用本办法。</w:t>
      </w:r>
    </w:p>
    <w:p>
      <w:pPr>
        <w:widowControl/>
        <w:spacing w:line="360" w:lineRule="auto"/>
        <w:ind w:firstLine="480" w:firstLineChars="200"/>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第三条 仪器设备招标工作应遵循公开、公平、公正和诚实信用的原则，与招标工作无直接关系的任何单位和个人，不得以任何理由、任何方式干扰学院的招标活动。</w:t>
      </w:r>
    </w:p>
    <w:p>
      <w:pPr>
        <w:widowControl/>
        <w:spacing w:line="360" w:lineRule="auto"/>
        <w:ind w:firstLine="480" w:firstLineChars="200"/>
        <w:jc w:val="left"/>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第四条 凡符合国家和丽水市有规定需政府采购的物资或设备，按国家和丽水市的有关规定执行，其余达到下列标准的项目均由校方依法自行组织采购或依法委托集中采购机构或者采购代理社会中介机构组织采购。</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经丽水市政府采购办批准的自行采购项目；</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不在丽水市集中采购目录以内的货物、服务类项目为30万元以下；</w:t>
      </w:r>
      <w:r>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t xml:space="preserve"> </w:t>
      </w:r>
      <w:r>
        <w:rPr>
          <w:rFonts w:hint="eastAsia" w:ascii="楷体" w:hAnsi="楷体" w:eastAsia="楷体" w:cs="楷体"/>
          <w:b w:val="0"/>
          <w:bCs w:val="0"/>
          <w:color w:val="000000" w:themeColor="text1"/>
          <w:kern w:val="0"/>
          <w:sz w:val="24"/>
          <w:szCs w:val="24"/>
          <w:highlight w:val="none"/>
          <w14:textFill>
            <w14:solidFill>
              <w14:schemeClr w14:val="tx1"/>
            </w14:solidFill>
          </w14:textFill>
        </w:rPr>
        <w:t>工程项目50万元以下的。</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单</w:t>
      </w:r>
      <w:r>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t>项1</w:t>
      </w:r>
      <w:r>
        <w:rPr>
          <w:rFonts w:hint="eastAsia" w:ascii="楷体" w:hAnsi="楷体" w:eastAsia="楷体" w:cs="楷体"/>
          <w:b w:val="0"/>
          <w:bCs w:val="0"/>
          <w:color w:val="000000" w:themeColor="text1"/>
          <w:kern w:val="0"/>
          <w:sz w:val="24"/>
          <w:szCs w:val="24"/>
          <w:highlight w:val="none"/>
          <w14:textFill>
            <w14:solidFill>
              <w14:schemeClr w14:val="tx1"/>
            </w14:solidFill>
          </w14:textFill>
        </w:rPr>
        <w:t>5万元以下的采购项目，非政府集中采购目录以内的设备采购由部门或分院领导、计财处、信息设备处、分管校领导审批同意后自行在政采云平台上购买。</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单</w:t>
      </w:r>
      <w:r>
        <w:rPr>
          <w:rFonts w:hint="eastAsia" w:ascii="楷体" w:hAnsi="楷体" w:eastAsia="楷体" w:cs="楷体"/>
          <w:b w:val="0"/>
          <w:bCs w:val="0"/>
          <w:color w:val="000000" w:themeColor="text1"/>
          <w:kern w:val="0"/>
          <w:sz w:val="24"/>
          <w:szCs w:val="24"/>
          <w:highlight w:val="none"/>
          <w:lang w:eastAsia="zh-CN"/>
          <w14:textFill>
            <w14:solidFill>
              <w14:schemeClr w14:val="tx1"/>
            </w14:solidFill>
          </w14:textFill>
        </w:rPr>
        <w:t>项</w:t>
      </w:r>
      <w:r>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t>1</w:t>
      </w:r>
      <w:r>
        <w:rPr>
          <w:rFonts w:hint="eastAsia" w:ascii="楷体" w:hAnsi="楷体" w:eastAsia="楷体" w:cs="楷体"/>
          <w:b w:val="0"/>
          <w:bCs w:val="0"/>
          <w:color w:val="000000" w:themeColor="text1"/>
          <w:kern w:val="0"/>
          <w:sz w:val="24"/>
          <w:szCs w:val="24"/>
          <w:highlight w:val="none"/>
          <w14:textFill>
            <w14:solidFill>
              <w14:schemeClr w14:val="tx1"/>
            </w14:solidFill>
          </w14:textFill>
        </w:rPr>
        <w:t>5万元以上或政府集中采购目录以内的设备采购时上报信息与设备处，由设备处统一进行招标采购。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第五条 涉及国家机密或因自然灾害、安全、急救等，需紧急采购的物资，经分管院领导同意后，不适用本办法。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第二章 仪器设备招标方式</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第六条 国家和丽水市有规定需政府采购的物资或设备一般应实行公开招标，由学院招标领导小组按有关规定执行。</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第七条 金额在</w:t>
      </w:r>
      <w:r>
        <w:rPr>
          <w:rFonts w:hint="eastAsia" w:ascii="楷体" w:hAnsi="楷体" w:eastAsia="楷体" w:cs="楷体"/>
          <w:b w:val="0"/>
          <w:bCs w:val="0"/>
          <w:color w:val="000000" w:themeColor="text1"/>
          <w:kern w:val="0"/>
          <w:sz w:val="24"/>
          <w:szCs w:val="24"/>
          <w:highlight w:val="none"/>
          <w14:textFill>
            <w14:solidFill>
              <w14:schemeClr w14:val="tx1"/>
            </w14:solidFill>
          </w14:textFill>
        </w:rPr>
        <w:t>1</w:t>
      </w:r>
      <w:r>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t>5</w:t>
      </w:r>
      <w:r>
        <w:rPr>
          <w:rFonts w:hint="eastAsia" w:ascii="楷体" w:hAnsi="楷体" w:eastAsia="楷体" w:cs="楷体"/>
          <w:b w:val="0"/>
          <w:bCs w:val="0"/>
          <w:color w:val="1D2535"/>
          <w:kern w:val="0"/>
          <w:sz w:val="24"/>
          <w:szCs w:val="24"/>
          <w:highlight w:val="none"/>
        </w:rPr>
        <w:t>万元以上的项目，一般应实行公开询标，由用户单位和职能部门以公开询价的方式向社会采购，参加询价的供应</w:t>
      </w:r>
      <w:r>
        <w:rPr>
          <w:rFonts w:hint="eastAsia" w:ascii="楷体" w:hAnsi="楷体" w:eastAsia="楷体" w:cs="楷体"/>
          <w:b w:val="0"/>
          <w:bCs w:val="0"/>
          <w:color w:val="1D2535"/>
          <w:kern w:val="0"/>
          <w:sz w:val="24"/>
          <w:szCs w:val="24"/>
          <w:highlight w:val="none"/>
          <w:lang w:val="en-US" w:eastAsia="zh-CN"/>
        </w:rPr>
        <w:t>应</w:t>
      </w:r>
      <w:r>
        <w:rPr>
          <w:rFonts w:hint="eastAsia" w:ascii="楷体" w:hAnsi="楷体" w:eastAsia="楷体" w:cs="楷体"/>
          <w:b w:val="0"/>
          <w:bCs w:val="0"/>
          <w:color w:val="1D2535"/>
          <w:kern w:val="0"/>
          <w:sz w:val="24"/>
          <w:szCs w:val="24"/>
          <w:highlight w:val="none"/>
        </w:rPr>
        <w:t>不少于三家。</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第八条 对技术含量有特别要求的项目，可实行竞争性谈判招标，由用户单位直接邀请三家以上的供应商就采购事宜进行竞价谈判，经招标领导小组表决同意后定标。</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第九条 供应商拥有专有权或原采购的设备后续零配件更换，必须向原供应商采购的项目，经有关专家论证后实行单一来源招标，招标领导小组同意后直接向供应商采购。</w:t>
      </w:r>
    </w:p>
    <w:p>
      <w:pPr>
        <w:widowControl/>
        <w:spacing w:line="360" w:lineRule="auto"/>
        <w:jc w:val="center"/>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第三章 招标工作程序</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第十条 学院一般采用公开招标为主，向社会公开招标公告；询价招标为辅，由用户单位和职能部门，通过市场调研后向院招标领导小组推荐三家以上投标公司，也可以采用其他招标方式进行。</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第十一条 招标领导小组对申请投标单位的企业资质、资金实力、固定资产、质量信誉和协作精神等进行审查，从中择优确定投标单位，一般要求有4-6个单位，最少不得少于3个单位。</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第十二条 招标文件由使用单位根据实际使用提供设备仪器的技术参数及要求，信息与设备处负责编制及向投标单位发售（或发放）招标文件及投标答疑。</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第十三条 投标单位在规定的时间内向招标领导小组提交投标文件，井将投标书的封口密封后，交院招标领导小组统一封存。</w:t>
      </w:r>
    </w:p>
    <w:p>
      <w:pPr>
        <w:widowControl/>
        <w:spacing w:line="360" w:lineRule="auto"/>
        <w:jc w:val="center"/>
        <w:rPr>
          <w:rFonts w:hint="eastAsia" w:ascii="楷体" w:hAnsi="楷体" w:eastAsia="楷体" w:cs="楷体"/>
          <w:b w:val="0"/>
          <w:bCs w:val="0"/>
          <w:color w:val="1D2535"/>
          <w:kern w:val="0"/>
          <w:sz w:val="24"/>
          <w:szCs w:val="24"/>
          <w:highlight w:val="none"/>
        </w:rPr>
      </w:pPr>
    </w:p>
    <w:p>
      <w:pPr>
        <w:widowControl/>
        <w:spacing w:line="360" w:lineRule="auto"/>
        <w:jc w:val="center"/>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第四章 评标与开标</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第十四条 信息与设备处负责邀请院内外专业对口的专家和使用设备单位代表组成评标小组，共同确定评标中的技术参数及权重要素。</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第十五条 评委们各自独立地打分后，按招标文件中规定的程序和方法统计各投标单位的最终积分，将积分最高者作为中标候选单位，积分第二高者作为中标候补单位，由招标领导小组组织相关人员，对中标候选单位作进一步考察、公示并接受社会监督，在此基础上最后由招标领导小组确定中标单位。</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第十六条 凡由学院招标领导小组确定的中标单位，以及有关招标工作的决定事项，不得更改。确需修正、补正，应由院招标领导小组集体研究决定。</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r>
        <w:rPr>
          <w:rFonts w:hint="eastAsia" w:ascii="楷体" w:hAnsi="楷体" w:eastAsia="楷体" w:cs="楷体"/>
          <w:b w:val="0"/>
          <w:bCs w:val="0"/>
          <w:color w:val="1D2535"/>
          <w:kern w:val="0"/>
          <w:sz w:val="24"/>
          <w:szCs w:val="24"/>
          <w:highlight w:val="none"/>
          <w:lang w:val="en-US" w:eastAsia="zh-CN"/>
        </w:rPr>
        <w:t xml:space="preserve"> </w:t>
      </w:r>
      <w:r>
        <w:rPr>
          <w:rFonts w:hint="eastAsia" w:ascii="楷体" w:hAnsi="楷体" w:eastAsia="楷体" w:cs="楷体"/>
          <w:b w:val="0"/>
          <w:bCs w:val="0"/>
          <w:color w:val="1D2535"/>
          <w:kern w:val="0"/>
          <w:sz w:val="24"/>
          <w:szCs w:val="24"/>
          <w:highlight w:val="none"/>
        </w:rPr>
        <w:t>第十七条 为了搞好学院的招标工作，对成绩突出、为学院做出贡献的单位和个人给予奖励；对违反本办法，与供应商违规串通的，视情节轻重追究经办人责任，并交学院纪检监察部门处理。</w:t>
      </w:r>
    </w:p>
    <w:p>
      <w:pPr>
        <w:widowControl/>
        <w:spacing w:line="360" w:lineRule="auto"/>
        <w:ind w:firstLine="480" w:firstLineChars="200"/>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第十八条 本办法由信息与设备处和学院采购领导小组负责解释。</w:t>
      </w:r>
    </w:p>
    <w:p>
      <w:pPr>
        <w:widowControl/>
        <w:spacing w:line="360" w:lineRule="auto"/>
        <w:ind w:firstLine="480" w:firstLineChars="200"/>
        <w:jc w:val="left"/>
        <w:rPr>
          <w:rFonts w:hint="default" w:ascii="楷体" w:hAnsi="楷体" w:eastAsia="楷体" w:cs="楷体"/>
          <w:b w:val="0"/>
          <w:bCs w:val="0"/>
          <w:color w:val="1D2535"/>
          <w:kern w:val="0"/>
          <w:sz w:val="24"/>
          <w:szCs w:val="24"/>
          <w:highlight w:val="none"/>
          <w:lang w:val="en-US" w:eastAsia="zh-CN"/>
        </w:rPr>
      </w:pPr>
      <w:r>
        <w:rPr>
          <w:rFonts w:hint="eastAsia" w:ascii="楷体" w:hAnsi="楷体" w:eastAsia="楷体" w:cs="楷体"/>
          <w:b w:val="0"/>
          <w:bCs w:val="0"/>
          <w:color w:val="1D2535"/>
          <w:kern w:val="0"/>
          <w:sz w:val="24"/>
          <w:szCs w:val="24"/>
          <w:highlight w:val="none"/>
          <w:lang w:eastAsia="zh-CN"/>
        </w:rPr>
        <w:t>第十九条</w:t>
      </w:r>
      <w:r>
        <w:rPr>
          <w:rFonts w:hint="eastAsia" w:ascii="楷体" w:hAnsi="楷体" w:eastAsia="楷体" w:cs="楷体"/>
          <w:b w:val="0"/>
          <w:bCs w:val="0"/>
          <w:color w:val="1D2535"/>
          <w:kern w:val="0"/>
          <w:sz w:val="24"/>
          <w:szCs w:val="24"/>
          <w:highlight w:val="none"/>
          <w:lang w:val="en-US" w:eastAsia="zh-CN"/>
        </w:rPr>
        <w:t xml:space="preserve"> 修订时间2020年5月12日。自修订之日起开始执行。</w:t>
      </w:r>
    </w:p>
    <w:p>
      <w:pPr>
        <w:widowControl/>
        <w:spacing w:line="360" w:lineRule="auto"/>
        <w:jc w:val="lef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w:t>
      </w:r>
    </w:p>
    <w:p>
      <w:pPr>
        <w:widowControl/>
        <w:spacing w:line="360" w:lineRule="auto"/>
        <w:jc w:val="right"/>
        <w:rPr>
          <w:rFonts w:hint="eastAsia" w:ascii="楷体" w:hAnsi="楷体" w:eastAsia="楷体" w:cs="楷体"/>
          <w:b w:val="0"/>
          <w:bCs w:val="0"/>
          <w:color w:val="1D2535"/>
          <w:kern w:val="0"/>
          <w:sz w:val="24"/>
          <w:szCs w:val="24"/>
          <w:highlight w:val="none"/>
        </w:rPr>
      </w:pPr>
      <w:r>
        <w:rPr>
          <w:rFonts w:hint="eastAsia" w:ascii="楷体" w:hAnsi="楷体" w:eastAsia="楷体" w:cs="楷体"/>
          <w:b w:val="0"/>
          <w:bCs w:val="0"/>
          <w:color w:val="1D2535"/>
          <w:kern w:val="0"/>
          <w:sz w:val="24"/>
          <w:szCs w:val="24"/>
          <w:highlight w:val="none"/>
        </w:rPr>
        <w:t xml:space="preserve"> 丽水职业技术学院</w:t>
      </w:r>
    </w:p>
    <w:p>
      <w:pPr>
        <w:widowControl/>
        <w:spacing w:line="360" w:lineRule="auto"/>
        <w:jc w:val="right"/>
        <w:rPr>
          <w:rFonts w:hint="eastAsia" w:ascii="楷体" w:hAnsi="楷体" w:eastAsia="楷体" w:cs="楷体"/>
          <w:b w:val="0"/>
          <w:bCs w:val="0"/>
          <w:color w:val="1D2535"/>
          <w:kern w:val="0"/>
          <w:sz w:val="24"/>
          <w:szCs w:val="24"/>
          <w:highlight w:val="none"/>
          <w:lang w:eastAsia="zh-CN"/>
        </w:rPr>
      </w:pPr>
      <w:r>
        <w:rPr>
          <w:rFonts w:hint="eastAsia" w:ascii="楷体" w:hAnsi="楷体" w:eastAsia="楷体" w:cs="楷体"/>
          <w:i w:val="0"/>
          <w:caps w:val="0"/>
          <w:color w:val="1D2535"/>
          <w:spacing w:val="0"/>
          <w:sz w:val="24"/>
          <w:szCs w:val="24"/>
          <w:highlight w:val="none"/>
          <w:shd w:val="clear" w:fill="F2F2F2"/>
        </w:rPr>
        <w:t>二</w:t>
      </w:r>
      <w:r>
        <w:rPr>
          <w:rFonts w:hint="eastAsia" w:ascii="楷体" w:hAnsi="楷体" w:eastAsia="楷体" w:cs="楷体"/>
          <w:i w:val="0"/>
          <w:caps w:val="0"/>
          <w:color w:val="1D2535"/>
          <w:spacing w:val="0"/>
          <w:sz w:val="24"/>
          <w:szCs w:val="24"/>
          <w:highlight w:val="none"/>
          <w:shd w:val="clear" w:fill="F2F2F2"/>
          <w:lang w:eastAsia="zh-CN"/>
        </w:rPr>
        <w:t>〇</w:t>
      </w:r>
      <w:r>
        <w:rPr>
          <w:rFonts w:hint="eastAsia" w:ascii="楷体" w:hAnsi="楷体" w:eastAsia="楷体" w:cs="楷体"/>
          <w:i w:val="0"/>
          <w:caps w:val="0"/>
          <w:color w:val="1D2535"/>
          <w:spacing w:val="0"/>
          <w:sz w:val="24"/>
          <w:szCs w:val="24"/>
          <w:highlight w:val="none"/>
          <w:shd w:val="clear" w:fill="F2F2F2"/>
          <w:lang w:val="en-US" w:eastAsia="zh-CN"/>
        </w:rPr>
        <w:t>二</w:t>
      </w:r>
      <w:r>
        <w:rPr>
          <w:rFonts w:hint="eastAsia" w:ascii="楷体" w:hAnsi="楷体" w:eastAsia="楷体" w:cs="楷体"/>
          <w:i w:val="0"/>
          <w:caps w:val="0"/>
          <w:color w:val="1D2535"/>
          <w:spacing w:val="0"/>
          <w:sz w:val="24"/>
          <w:szCs w:val="24"/>
          <w:highlight w:val="none"/>
          <w:shd w:val="clear" w:fill="F2F2F2"/>
          <w:lang w:eastAsia="zh-CN"/>
        </w:rPr>
        <w:t>〇</w:t>
      </w:r>
      <w:r>
        <w:rPr>
          <w:rFonts w:hint="eastAsia" w:ascii="楷体" w:hAnsi="楷体" w:eastAsia="楷体" w:cs="楷体"/>
          <w:i w:val="0"/>
          <w:caps w:val="0"/>
          <w:color w:val="1D2535"/>
          <w:spacing w:val="0"/>
          <w:sz w:val="24"/>
          <w:szCs w:val="24"/>
          <w:highlight w:val="none"/>
          <w:shd w:val="clear" w:fill="F2F2F2"/>
        </w:rPr>
        <w:t>年</w:t>
      </w:r>
      <w:r>
        <w:rPr>
          <w:rFonts w:hint="eastAsia" w:ascii="楷体" w:hAnsi="楷体" w:eastAsia="楷体" w:cs="楷体"/>
          <w:i w:val="0"/>
          <w:caps w:val="0"/>
          <w:color w:val="1D2535"/>
          <w:spacing w:val="0"/>
          <w:sz w:val="24"/>
          <w:szCs w:val="24"/>
          <w:highlight w:val="none"/>
          <w:shd w:val="clear" w:fill="F2F2F2"/>
          <w:lang w:eastAsia="zh-CN"/>
        </w:rPr>
        <w:t>五</w:t>
      </w:r>
      <w:r>
        <w:rPr>
          <w:rFonts w:hint="eastAsia" w:ascii="楷体" w:hAnsi="楷体" w:eastAsia="楷体" w:cs="楷体"/>
          <w:i w:val="0"/>
          <w:caps w:val="0"/>
          <w:color w:val="1D2535"/>
          <w:spacing w:val="0"/>
          <w:sz w:val="24"/>
          <w:szCs w:val="24"/>
          <w:highlight w:val="none"/>
          <w:shd w:val="clear" w:fill="F2F2F2"/>
        </w:rPr>
        <w:t>月</w:t>
      </w:r>
      <w:r>
        <w:rPr>
          <w:rFonts w:hint="eastAsia" w:ascii="楷体" w:hAnsi="楷体" w:eastAsia="楷体" w:cs="楷体"/>
          <w:i w:val="0"/>
          <w:caps w:val="0"/>
          <w:color w:val="1D2535"/>
          <w:spacing w:val="0"/>
          <w:sz w:val="24"/>
          <w:szCs w:val="24"/>
          <w:highlight w:val="none"/>
          <w:shd w:val="clear" w:fill="F2F2F2"/>
          <w:lang w:eastAsia="zh-CN"/>
        </w:rPr>
        <w:t>十二日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BC43"/>
    <w:multiLevelType w:val="singleLevel"/>
    <w:tmpl w:val="31CBBC4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E1"/>
    <w:rsid w:val="00011EBD"/>
    <w:rsid w:val="00012DEE"/>
    <w:rsid w:val="00127311"/>
    <w:rsid w:val="00322B45"/>
    <w:rsid w:val="006144E1"/>
    <w:rsid w:val="0065639D"/>
    <w:rsid w:val="00672F7F"/>
    <w:rsid w:val="00757DEE"/>
    <w:rsid w:val="007A2957"/>
    <w:rsid w:val="007A3492"/>
    <w:rsid w:val="00820814"/>
    <w:rsid w:val="008763E6"/>
    <w:rsid w:val="008F7E44"/>
    <w:rsid w:val="00A33E60"/>
    <w:rsid w:val="00B931D1"/>
    <w:rsid w:val="00C86814"/>
    <w:rsid w:val="1EB421DD"/>
    <w:rsid w:val="302C68BE"/>
    <w:rsid w:val="303421FA"/>
    <w:rsid w:val="394B1604"/>
    <w:rsid w:val="46000E0C"/>
    <w:rsid w:val="4D356C43"/>
    <w:rsid w:val="4DFF3F9C"/>
    <w:rsid w:val="53A741BF"/>
    <w:rsid w:val="55E963ED"/>
    <w:rsid w:val="58052E8B"/>
    <w:rsid w:val="635873F7"/>
    <w:rsid w:val="63FA0985"/>
    <w:rsid w:val="67ED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265</Words>
  <Characters>1511</Characters>
  <Lines>12</Lines>
  <Paragraphs>3</Paragraphs>
  <TotalTime>0</TotalTime>
  <ScaleCrop>false</ScaleCrop>
  <LinksUpToDate>false</LinksUpToDate>
  <CharactersWithSpaces>1773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2018-12-25T00:59:00Z</dcterms:created>
  <dc:creator>Micorosoft</dc:creator>
  <cp:lastModifiedBy>老钭</cp:lastModifiedBy>
  <dcterms:modified xsi:type="dcterms:W3CDTF">2020-05-13T07:17:34Z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